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A2" w:rsidRDefault="00120CA2" w:rsidP="00120CA2">
      <w:pPr>
        <w:jc w:val="both"/>
        <w:rPr>
          <w:rFonts w:cs="Verdana"/>
          <w:sz w:val="19"/>
          <w:szCs w:val="19"/>
          <w:lang w:eastAsia="es-BO"/>
        </w:rPr>
      </w:pPr>
    </w:p>
    <w:p w:rsidR="00120CA2" w:rsidRPr="00650B21" w:rsidRDefault="00120CA2" w:rsidP="00120CA2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120CA2" w:rsidRPr="00650B21" w:rsidRDefault="00120CA2" w:rsidP="00120CA2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120CA2" w:rsidRPr="00773F19" w:rsidRDefault="00120CA2" w:rsidP="00120CA2">
      <w:pPr>
        <w:jc w:val="center"/>
        <w:rPr>
          <w:rFonts w:cs="Arial"/>
          <w:b/>
          <w:sz w:val="12"/>
          <w:szCs w:val="12"/>
        </w:rPr>
      </w:pPr>
    </w:p>
    <w:p w:rsidR="00120CA2" w:rsidRDefault="00120CA2" w:rsidP="00120CA2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120CA2" w:rsidRPr="00993385" w:rsidRDefault="00120CA2" w:rsidP="00120CA2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120CA2" w:rsidRPr="003F12B0" w:rsidTr="003420BA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120CA2" w:rsidRPr="003F12B0" w:rsidTr="003420BA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120CA2" w:rsidRPr="003F12B0" w:rsidTr="003420BA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295DE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20CA2" w:rsidRPr="003F12B0" w:rsidTr="003420BA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48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121A2D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121A2D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64457B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Alquiler de Balanza Camionera Recinto Aduana Interior La Paz Extensión Patacamaya Gestión 2020</w:t>
            </w:r>
            <w:r w:rsidRPr="0064457B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D80126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8A3B14" w:rsidRDefault="00120CA2" w:rsidP="003420BA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025D79" w:rsidRDefault="00120CA2" w:rsidP="003420B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120CA2" w:rsidRPr="001409CA" w:rsidTr="003420BA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120CA2" w:rsidRPr="001409CA" w:rsidRDefault="00120CA2" w:rsidP="003420B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120CA2" w:rsidRPr="001409CA" w:rsidRDefault="00120CA2" w:rsidP="003420B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120CA2" w:rsidRPr="001409CA" w:rsidRDefault="00120CA2" w:rsidP="003420B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120CA2" w:rsidRPr="001409CA" w:rsidRDefault="00120CA2" w:rsidP="003420B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120CA2" w:rsidRPr="001409CA" w:rsidRDefault="00120CA2" w:rsidP="003420B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120CA2" w:rsidRPr="001409CA" w:rsidRDefault="00120CA2" w:rsidP="003420B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120CA2" w:rsidRPr="001409CA" w:rsidTr="003420BA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120CA2" w:rsidRPr="005B57F3" w:rsidRDefault="00120CA2" w:rsidP="003420B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120CA2" w:rsidRPr="005B57F3" w:rsidRDefault="00120CA2" w:rsidP="003420BA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Alquiler de Balanza Camionera Recinto Aduana Interior La Paz Extensión Patacamaya Gestión 2020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120CA2" w:rsidRPr="005B57F3" w:rsidRDefault="00120CA2" w:rsidP="003420BA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20CA2" w:rsidRPr="005B57F3" w:rsidRDefault="00120CA2" w:rsidP="003420B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240.000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20CA2" w:rsidRPr="005B57F3" w:rsidRDefault="00120CA2" w:rsidP="003420B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120CA2" w:rsidRPr="005B57F3" w:rsidRDefault="00120CA2" w:rsidP="003420B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240.000,00</w:t>
                  </w:r>
                </w:p>
              </w:tc>
            </w:tr>
            <w:tr w:rsidR="00120CA2" w:rsidTr="003420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120CA2" w:rsidRPr="001409CA" w:rsidRDefault="00120CA2" w:rsidP="003420BA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120CA2" w:rsidRPr="001409CA" w:rsidRDefault="00120CA2" w:rsidP="003420BA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120CA2" w:rsidRPr="001409CA" w:rsidRDefault="00120CA2" w:rsidP="003420BA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20CA2" w:rsidRPr="001409CA" w:rsidRDefault="00120CA2" w:rsidP="003420B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20CA2" w:rsidRPr="001409CA" w:rsidRDefault="00120CA2" w:rsidP="003420BA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120CA2" w:rsidRPr="00130E02" w:rsidRDefault="00120CA2" w:rsidP="003420BA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240.000,</w:t>
                  </w:r>
                  <w:r w:rsidRPr="001409CA"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00</w:t>
                  </w:r>
                </w:p>
              </w:tc>
            </w:tr>
          </w:tbl>
          <w:p w:rsidR="00120CA2" w:rsidRPr="00E618F3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NB-SABS-EPNE-DAB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025D79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025D79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20CA2" w:rsidRPr="00252412" w:rsidRDefault="00120CA2" w:rsidP="003420BA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FF6B0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FF6B00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E618F3" w:rsidRDefault="00120CA2" w:rsidP="003420BA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20CA2" w:rsidRPr="003F12B0" w:rsidTr="003420BA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0CA2" w:rsidRPr="009566D3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20CA2" w:rsidRPr="007212CB" w:rsidRDefault="00120CA2" w:rsidP="003420BA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120CA2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0CA2" w:rsidRPr="009566D3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20CA2" w:rsidRPr="003F12B0" w:rsidTr="003420BA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0CA2" w:rsidRPr="009566D3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20CA2" w:rsidRPr="009566D3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9566D3" w:rsidRDefault="00120CA2" w:rsidP="00120CA2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120CA2" w:rsidRPr="003F12B0" w:rsidTr="003420BA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43DB7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Default="00120CA2" w:rsidP="00120CA2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43DB7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0CA2" w:rsidRPr="00B00980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025D79" w:rsidRDefault="00120CA2" w:rsidP="003420BA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2623A3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43DB7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Plazo de prestación del servicio</w:t>
            </w:r>
          </w:p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0CA2" w:rsidRPr="004979FC" w:rsidRDefault="00120CA2" w:rsidP="003420BA">
            <w:pPr>
              <w:jc w:val="both"/>
              <w:rPr>
                <w:rFonts w:ascii="Century Gothic" w:hAnsi="Century Gothic"/>
                <w:highlight w:val="yellow"/>
              </w:rPr>
            </w:pPr>
            <w:r w:rsidRPr="00202AA6">
              <w:rPr>
                <w:rFonts w:ascii="Century Gothic" w:hAnsi="Century Gothic"/>
              </w:rPr>
              <w:t xml:space="preserve">A partir del 01 de enero hasta el </w:t>
            </w:r>
            <w:r w:rsidRPr="009561BE">
              <w:rPr>
                <w:rFonts w:ascii="Century Gothic" w:hAnsi="Century Gothic"/>
              </w:rPr>
              <w:t>31 de Octubre</w:t>
            </w:r>
            <w:r w:rsidRPr="00202AA6">
              <w:rPr>
                <w:rFonts w:ascii="Century Gothic" w:hAnsi="Century Gothic"/>
              </w:rPr>
              <w:t xml:space="preserve"> de 2020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A3424" w:rsidRDefault="00120CA2" w:rsidP="003420BA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025D79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0CA2" w:rsidRPr="006C1842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A2" w:rsidRPr="003A3424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D6F60" w:rsidRDefault="00120CA2" w:rsidP="003420BA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D6F60" w:rsidRDefault="00120CA2" w:rsidP="003420BA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Default="00120CA2" w:rsidP="003420B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20CA2" w:rsidRPr="003F12B0" w:rsidTr="003420BA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0CA2" w:rsidRPr="002623A3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A2" w:rsidRPr="002623A3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3710C5" w:rsidRDefault="00120CA2" w:rsidP="003420BA">
            <w:pPr>
              <w:jc w:val="both"/>
              <w:rPr>
                <w:rFonts w:ascii="Century Gothic" w:hAnsi="Century Gothic" w:cs="Arial"/>
                <w:color w:val="000000"/>
              </w:rPr>
            </w:pPr>
            <w:r w:rsidRPr="00202AA6">
              <w:rPr>
                <w:rFonts w:ascii="Century Gothic" w:hAnsi="Century Gothic"/>
              </w:rPr>
              <w:t>“</w:t>
            </w:r>
            <w:r>
              <w:rPr>
                <w:rFonts w:ascii="Century Gothic" w:hAnsi="Century Gothic"/>
              </w:rPr>
              <w:t>A</w:t>
            </w:r>
            <w:r w:rsidRPr="00202AA6">
              <w:rPr>
                <w:rFonts w:ascii="Century Gothic" w:hAnsi="Century Gothic"/>
              </w:rPr>
              <w:t>lquiler de balanza cam</w:t>
            </w:r>
            <w:r>
              <w:rPr>
                <w:rFonts w:ascii="Century Gothic" w:hAnsi="Century Gothic"/>
              </w:rPr>
              <w:t>ionera Recinto Aduana Interior La Paz extensión Patacamaya</w:t>
            </w:r>
            <w:r w:rsidRPr="00202AA6">
              <w:rPr>
                <w:rFonts w:ascii="Century Gothic" w:hAnsi="Century Gothic"/>
              </w:rPr>
              <w:t xml:space="preserve"> 2020”, </w:t>
            </w:r>
            <w:r>
              <w:rPr>
                <w:rFonts w:ascii="Century Gothic" w:hAnsi="Century Gothic"/>
              </w:rPr>
              <w:t>deberá estar ubicada en la quinta sección municipal de la provincia Aroma del departamento de La Paz, avenida Panamericana km 101, zona Nueva Esperanza Patacamaya (zona comercial ZOFRAPAT).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2623A3" w:rsidRDefault="00120CA2" w:rsidP="003420B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20CA2" w:rsidRPr="003F12B0" w:rsidTr="003420BA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9C17C5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9C17C5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120CA2" w:rsidRPr="003F12B0" w:rsidTr="003420BA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120CA2" w:rsidRPr="003F12B0" w:rsidTr="003420BA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0CA2" w:rsidRPr="0078637A" w:rsidRDefault="00120CA2" w:rsidP="003420B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E90754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20CA2" w:rsidRPr="003F12B0" w:rsidTr="003420BA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6E4D3B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6E4D3B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120CA2" w:rsidRPr="003A2CE3" w:rsidRDefault="00120CA2" w:rsidP="003420BA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Lic. Selman Leonardo Humerez </w:t>
            </w:r>
            <w:proofErr w:type="spellStart"/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FLores</w:t>
            </w:r>
            <w:proofErr w:type="spellEnd"/>
          </w:p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Logística y Almacenamiento</w:t>
            </w:r>
          </w:p>
          <w:p w:rsidR="00120CA2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proofErr w:type="spellStart"/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Logistica</w:t>
            </w:r>
            <w:proofErr w:type="spellEnd"/>
          </w:p>
          <w:p w:rsidR="00120CA2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120CA2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6E4D3B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20CA2" w:rsidRPr="003F12B0" w:rsidTr="003420BA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20CA2" w:rsidRPr="003F12B0" w:rsidTr="003420BA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490F2A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20CA2" w:rsidRPr="003F12B0" w:rsidTr="003420BA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20CA2" w:rsidRPr="003F12B0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120CA2" w:rsidRPr="00CA06DA" w:rsidRDefault="00120CA2" w:rsidP="003420B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123</w:t>
            </w:r>
          </w:p>
          <w:p w:rsidR="00120CA2" w:rsidRPr="00CA06DA" w:rsidRDefault="00120CA2" w:rsidP="003420BA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120CA2" w:rsidRPr="00CA06DA" w:rsidRDefault="00120CA2" w:rsidP="003420BA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20CA2" w:rsidRPr="00130E02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CA06DA" w:rsidRDefault="00120CA2" w:rsidP="003420B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CA2" w:rsidRPr="00130E02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120CA2" w:rsidRPr="00566ED9" w:rsidRDefault="00120CA2" w:rsidP="003420BA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070F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shumerez@dab.gob.bo</w:t>
              </w:r>
            </w:hyperlink>
          </w:p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120CA2" w:rsidRPr="00CA06DA" w:rsidRDefault="00120CA2" w:rsidP="003420BA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120CA2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120CA2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120CA2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120CA2" w:rsidRPr="003F12B0" w:rsidRDefault="00120CA2" w:rsidP="003420B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20CA2" w:rsidRPr="003F12B0" w:rsidTr="003420BA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120CA2" w:rsidRPr="00330FDE" w:rsidTr="003420BA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20CA2" w:rsidRPr="00330FDE" w:rsidTr="003420BA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78637A" w:rsidRDefault="00120CA2" w:rsidP="003420B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0CA2" w:rsidRPr="0078637A" w:rsidRDefault="00120CA2" w:rsidP="003420B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120CA2" w:rsidRPr="0078637A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120CA2" w:rsidRPr="00330FDE" w:rsidTr="003420B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78637A" w:rsidRDefault="00120CA2" w:rsidP="003420B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20CA2" w:rsidRPr="0078637A" w:rsidRDefault="00120CA2" w:rsidP="003420BA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78637A" w:rsidRDefault="00120CA2" w:rsidP="003420B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78637A" w:rsidRDefault="00120CA2" w:rsidP="003420B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0CA2" w:rsidRPr="0078637A" w:rsidRDefault="00120CA2" w:rsidP="003420BA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BE0018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A2" w:rsidRPr="00330FDE" w:rsidRDefault="00120CA2" w:rsidP="003420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20CA2" w:rsidRPr="0078637A" w:rsidRDefault="00120CA2" w:rsidP="003420BA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120CA2" w:rsidRPr="0078637A" w:rsidRDefault="00120CA2" w:rsidP="003420BA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330FDE" w:rsidRDefault="00120CA2" w:rsidP="003420B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20CA2" w:rsidRPr="00330FDE" w:rsidTr="003420BA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20CA2" w:rsidRPr="00BE0018" w:rsidRDefault="00120CA2" w:rsidP="003420B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120CA2" w:rsidRDefault="00120CA2" w:rsidP="00120CA2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120CA2" w:rsidRDefault="00120CA2" w:rsidP="00120CA2">
      <w:pPr>
        <w:rPr>
          <w:rFonts w:ascii="Arial" w:hAnsi="Arial" w:cs="Arial"/>
          <w:sz w:val="22"/>
          <w:szCs w:val="22"/>
        </w:rPr>
      </w:pPr>
    </w:p>
    <w:p w:rsidR="00025138" w:rsidRDefault="00120CA2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A2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0CA2"/>
    <w:rsid w:val="001212F3"/>
    <w:rsid w:val="00121B20"/>
    <w:rsid w:val="00122E3C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979BD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4DC0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12E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5B0F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A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20CA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20CA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120CA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A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20CA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20CA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120CA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er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2019-12-20T00:40:00Z</dcterms:created>
  <dcterms:modified xsi:type="dcterms:W3CDTF">2019-12-20T00:40:00Z</dcterms:modified>
</cp:coreProperties>
</file>